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76ED" w14:textId="4D2F91BE" w:rsidR="00FB5C12" w:rsidRDefault="00FB5C12" w:rsidP="00FB5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3" w:lineRule="auto"/>
        <w:ind w:left="713" w:right="1077"/>
        <w:jc w:val="center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PA-506 Reading/Berks County Continuum of Care</w:t>
      </w:r>
    </w:p>
    <w:p w14:paraId="1B0BA54E" w14:textId="619109B1" w:rsidR="00FB5C12" w:rsidRPr="008E2CE7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3" w:lineRule="auto"/>
        <w:ind w:left="713" w:right="1077"/>
        <w:jc w:val="center"/>
        <w:rPr>
          <w:rFonts w:ascii="Times" w:eastAsia="Times" w:hAnsi="Times" w:cs="Times"/>
          <w:b/>
          <w:color w:val="000000" w:themeColor="text1"/>
          <w:sz w:val="25"/>
          <w:szCs w:val="25"/>
        </w:rPr>
      </w:pPr>
      <w:r w:rsidRPr="008E2CE7">
        <w:rPr>
          <w:rFonts w:ascii="Times" w:eastAsia="Times" w:hAnsi="Times" w:cs="Times"/>
          <w:b/>
          <w:color w:val="000000" w:themeColor="text1"/>
          <w:sz w:val="25"/>
          <w:szCs w:val="25"/>
        </w:rPr>
        <w:t xml:space="preserve">Written </w:t>
      </w:r>
      <w:r w:rsidR="008E2CE7" w:rsidRPr="008E2CE7">
        <w:rPr>
          <w:rFonts w:ascii="Times" w:eastAsia="Times" w:hAnsi="Times" w:cs="Times"/>
          <w:b/>
          <w:color w:val="000000" w:themeColor="text1"/>
          <w:sz w:val="25"/>
          <w:szCs w:val="25"/>
        </w:rPr>
        <w:t>Procedure for Ranking and Rating</w:t>
      </w:r>
    </w:p>
    <w:p w14:paraId="00000002" w14:textId="77777777" w:rsidR="00D82FD2" w:rsidRDefault="006D0C70" w:rsidP="00916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I. Purpose </w:t>
      </w:r>
    </w:p>
    <w:p w14:paraId="00000003" w14:textId="55E7D562" w:rsidR="00D82FD2" w:rsidRPr="00E4575F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66" w:lineRule="auto"/>
        <w:ind w:right="94" w:firstLine="2"/>
        <w:rPr>
          <w:rFonts w:ascii="Times" w:eastAsia="Times" w:hAnsi="Times" w:cs="Times"/>
          <w:strike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Berks Coalition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to End Homelessness, Inc.’s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="00E4575F">
        <w:rPr>
          <w:rFonts w:ascii="Times" w:eastAsia="Times" w:hAnsi="Times" w:cs="Times"/>
          <w:color w:val="000000"/>
          <w:sz w:val="21"/>
          <w:szCs w:val="21"/>
        </w:rPr>
        <w:t xml:space="preserve">(BCEH) </w:t>
      </w:r>
      <w:r>
        <w:rPr>
          <w:rFonts w:ascii="Times" w:eastAsia="Times" w:hAnsi="Times" w:cs="Times"/>
          <w:color w:val="000000"/>
          <w:sz w:val="21"/>
          <w:szCs w:val="21"/>
        </w:rPr>
        <w:t>protocols for the Contin</w:t>
      </w:r>
      <w:r w:rsidR="00FB5C12">
        <w:rPr>
          <w:rFonts w:ascii="Times" w:eastAsia="Times" w:hAnsi="Times" w:cs="Times"/>
          <w:color w:val="000000"/>
          <w:sz w:val="21"/>
          <w:szCs w:val="21"/>
        </w:rPr>
        <w:t>uum of Care (CoC) establishes a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transparent framework for the annual CoC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Program Competition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scoring, ranking and approval proce</w:t>
      </w:r>
      <w:r w:rsidR="00FB5C12">
        <w:rPr>
          <w:rFonts w:ascii="Times" w:eastAsia="Times" w:hAnsi="Times" w:cs="Times"/>
          <w:color w:val="000000"/>
          <w:sz w:val="21"/>
          <w:szCs w:val="21"/>
        </w:rPr>
        <w:t xml:space="preserve">ss. In order to best serve our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community members through provision of effective projects and capturing the maximum funds available,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projects which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most closely align with the HUD and CoC priorities will be prioritized for funding. </w:t>
      </w:r>
    </w:p>
    <w:p w14:paraId="00000004" w14:textId="39F1F348" w:rsidR="00D82FD2" w:rsidRPr="00E4575F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65" w:lineRule="auto"/>
        <w:ind w:left="2" w:right="69" w:firstLine="3"/>
        <w:rPr>
          <w:rFonts w:ascii="Times" w:eastAsia="Times" w:hAnsi="Times" w:cs="Times"/>
          <w:color w:val="000000" w:themeColor="text1"/>
          <w:sz w:val="21"/>
          <w:szCs w:val="21"/>
        </w:rPr>
      </w:pP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The duties are to oversee all monitoring of </w:t>
      </w:r>
      <w:r w:rsidR="00FB5C12" w:rsidRPr="00E4575F">
        <w:rPr>
          <w:rFonts w:ascii="Times" w:eastAsia="Times" w:hAnsi="Times" w:cs="Times"/>
          <w:color w:val="000000" w:themeColor="text1"/>
          <w:sz w:val="21"/>
          <w:szCs w:val="21"/>
        </w:rPr>
        <w:t>funding agencies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(performed by BCEH staff), develop and revise the monitoring tool, </w:t>
      </w:r>
      <w:r w:rsidR="00E4575F"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and 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perform ratings and </w:t>
      </w:r>
      <w:r w:rsidR="00FB5C12" w:rsidRPr="00E4575F">
        <w:rPr>
          <w:rFonts w:ascii="Times" w:eastAsia="Times" w:hAnsi="Times" w:cs="Times"/>
          <w:color w:val="000000" w:themeColor="text1"/>
          <w:sz w:val="21"/>
          <w:szCs w:val="21"/>
        </w:rPr>
        <w:t>rankings for</w:t>
      </w:r>
      <w:r w:rsidR="00E4575F"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all applications to the CoC Competition.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Agencies are able to submit new and </w:t>
      </w:r>
      <w:r w:rsidR="00FB5C12" w:rsidRPr="00E4575F">
        <w:rPr>
          <w:rFonts w:ascii="Times" w:eastAsia="Times" w:hAnsi="Times" w:cs="Times"/>
          <w:color w:val="000000" w:themeColor="text1"/>
          <w:sz w:val="21"/>
          <w:szCs w:val="21"/>
        </w:rPr>
        <w:t>renewal applications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. </w:t>
      </w:r>
      <w:r w:rsidR="00E4575F" w:rsidRPr="00E4575F">
        <w:rPr>
          <w:rFonts w:ascii="Times" w:eastAsia="Times" w:hAnsi="Times" w:cs="Times"/>
          <w:color w:val="000000" w:themeColor="text1"/>
          <w:sz w:val="21"/>
          <w:szCs w:val="21"/>
        </w:rPr>
        <w:t>The applications will be scored</w:t>
      </w:r>
      <w:r w:rsid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by a ranking committee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>, based on criteria explained below, and place</w:t>
      </w:r>
      <w:r w:rsidR="00E4575F">
        <w:rPr>
          <w:rFonts w:ascii="Times" w:eastAsia="Times" w:hAnsi="Times" w:cs="Times"/>
          <w:color w:val="000000" w:themeColor="text1"/>
          <w:sz w:val="21"/>
          <w:szCs w:val="21"/>
        </w:rPr>
        <w:t>d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</w:t>
      </w:r>
      <w:r w:rsidR="00FB5C12" w:rsidRPr="00E4575F">
        <w:rPr>
          <w:rFonts w:ascii="Times" w:eastAsia="Times" w:hAnsi="Times" w:cs="Times"/>
          <w:color w:val="000000" w:themeColor="text1"/>
          <w:sz w:val="21"/>
          <w:szCs w:val="21"/>
        </w:rPr>
        <w:t>into Tier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1 and Tier 2 levels of funding</w:t>
      </w:r>
      <w:r w:rsidR="00E4575F"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 as determined by HUD</w:t>
      </w:r>
      <w:r w:rsidRPr="00E4575F">
        <w:rPr>
          <w:rFonts w:ascii="Times" w:eastAsia="Times" w:hAnsi="Times" w:cs="Times"/>
          <w:color w:val="000000" w:themeColor="text1"/>
          <w:sz w:val="21"/>
          <w:szCs w:val="21"/>
        </w:rPr>
        <w:t xml:space="preserve">. </w:t>
      </w:r>
    </w:p>
    <w:p w14:paraId="00000005" w14:textId="2C438837" w:rsidR="00D82FD2" w:rsidRDefault="00FB5C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>II. FY2021</w:t>
      </w:r>
      <w:r w:rsidR="006D0C70">
        <w:rPr>
          <w:rFonts w:ascii="Times" w:eastAsia="Times" w:hAnsi="Times" w:cs="Times"/>
          <w:b/>
          <w:color w:val="000000"/>
          <w:sz w:val="25"/>
          <w:szCs w:val="25"/>
        </w:rPr>
        <w:t xml:space="preserve"> HUD Funding Availability </w:t>
      </w:r>
    </w:p>
    <w:p w14:paraId="7D6AF715" w14:textId="77777777" w:rsidR="00307D4B" w:rsidRPr="00307D4B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65" w:lineRule="auto"/>
        <w:ind w:left="2" w:right="1690"/>
        <w:rPr>
          <w:rFonts w:ascii="Times" w:eastAsia="Times" w:hAnsi="Times" w:cs="Times"/>
          <w:color w:val="000000" w:themeColor="text1"/>
          <w:sz w:val="21"/>
          <w:szCs w:val="21"/>
        </w:rPr>
      </w:pP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 xml:space="preserve">Total Annual </w:t>
      </w:r>
      <w:r w:rsidR="00307D4B" w:rsidRPr="00307D4B">
        <w:rPr>
          <w:rFonts w:ascii="Times" w:eastAsia="Times" w:hAnsi="Times" w:cs="Times"/>
          <w:color w:val="000000" w:themeColor="text1"/>
          <w:sz w:val="21"/>
          <w:szCs w:val="21"/>
        </w:rPr>
        <w:t>Renewal Demand (ARD): $3,126,579</w:t>
      </w:r>
    </w:p>
    <w:p w14:paraId="41BE5506" w14:textId="09655F2B" w:rsidR="00307D4B" w:rsidRPr="00307D4B" w:rsidRDefault="00307D4B" w:rsidP="00307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720" w:right="1685"/>
        <w:rPr>
          <w:rFonts w:ascii="Times" w:eastAsia="Times" w:hAnsi="Times" w:cs="Times"/>
          <w:color w:val="000000" w:themeColor="text1"/>
          <w:sz w:val="21"/>
          <w:szCs w:val="21"/>
        </w:rPr>
      </w:pP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>CoC Bonus:</w:t>
      </w:r>
      <w:r w:rsidRPr="00307D4B">
        <w:rPr>
          <w:color w:val="000000" w:themeColor="text1"/>
        </w:rPr>
        <w:t xml:space="preserve"> </w:t>
      </w: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>$213,553</w:t>
      </w:r>
    </w:p>
    <w:p w14:paraId="50274700" w14:textId="05BD354A" w:rsidR="00307D4B" w:rsidRPr="00307D4B" w:rsidRDefault="00307D4B" w:rsidP="00307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720" w:right="1685"/>
        <w:rPr>
          <w:rFonts w:ascii="Times" w:eastAsia="Times" w:hAnsi="Times" w:cs="Times"/>
          <w:color w:val="000000" w:themeColor="text1"/>
          <w:sz w:val="21"/>
          <w:szCs w:val="21"/>
        </w:rPr>
      </w:pP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>DV Bonus:</w:t>
      </w:r>
      <w:r w:rsidRPr="00307D4B">
        <w:rPr>
          <w:color w:val="000000" w:themeColor="text1"/>
        </w:rPr>
        <w:t xml:space="preserve"> </w:t>
      </w: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>$640,659</w:t>
      </w:r>
    </w:p>
    <w:p w14:paraId="00000006" w14:textId="51AE8E28" w:rsidR="00D82FD2" w:rsidRPr="00307D4B" w:rsidRDefault="006D0C70" w:rsidP="00307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720" w:right="1685"/>
        <w:rPr>
          <w:rFonts w:ascii="Times" w:eastAsia="Times" w:hAnsi="Times" w:cs="Times"/>
          <w:color w:val="000000" w:themeColor="text1"/>
          <w:sz w:val="21"/>
          <w:szCs w:val="21"/>
        </w:rPr>
      </w:pP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 xml:space="preserve"> Planning Funds: </w:t>
      </w:r>
      <w:r w:rsidR="00307D4B" w:rsidRPr="00307D4B">
        <w:rPr>
          <w:rFonts w:ascii="Times" w:eastAsia="Times" w:hAnsi="Times" w:cs="Times"/>
          <w:color w:val="000000" w:themeColor="text1"/>
          <w:sz w:val="21"/>
          <w:szCs w:val="21"/>
        </w:rPr>
        <w:t xml:space="preserve">$128,132 </w:t>
      </w:r>
      <w:r w:rsidRPr="00307D4B">
        <w:rPr>
          <w:rFonts w:ascii="Times" w:eastAsia="Times" w:hAnsi="Times" w:cs="Times"/>
          <w:color w:val="000000" w:themeColor="text1"/>
          <w:sz w:val="21"/>
          <w:szCs w:val="21"/>
        </w:rPr>
        <w:t xml:space="preserve">(planning funds are not ranked) </w:t>
      </w:r>
    </w:p>
    <w:p w14:paraId="00000007" w14:textId="63BC9912" w:rsidR="00D82FD2" w:rsidRDefault="00FB5C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4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III. </w:t>
      </w:r>
      <w:r w:rsidR="006D0C70">
        <w:rPr>
          <w:rFonts w:ascii="Times" w:eastAsia="Times" w:hAnsi="Times" w:cs="Times"/>
          <w:b/>
          <w:color w:val="000000"/>
          <w:sz w:val="25"/>
          <w:szCs w:val="25"/>
        </w:rPr>
        <w:t xml:space="preserve">PA-506 Focus Areas </w:t>
      </w:r>
    </w:p>
    <w:p w14:paraId="25C4C2F3" w14:textId="75A950BE" w:rsidR="00FB5C12" w:rsidRDefault="006D0C70" w:rsidP="00FB5C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58" w:lineRule="auto"/>
        <w:ind w:left="784" w:right="11" w:hanging="781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This year </w:t>
      </w:r>
      <w:r w:rsidR="00FB5C12">
        <w:rPr>
          <w:rFonts w:ascii="Times" w:eastAsia="Times" w:hAnsi="Times" w:cs="Times"/>
          <w:color w:val="000000"/>
          <w:sz w:val="21"/>
          <w:szCs w:val="21"/>
        </w:rPr>
        <w:t xml:space="preserve">the CoC </w:t>
      </w:r>
      <w:r>
        <w:rPr>
          <w:rFonts w:ascii="Times" w:eastAsia="Times" w:hAnsi="Times" w:cs="Times"/>
          <w:color w:val="000000"/>
          <w:sz w:val="21"/>
          <w:szCs w:val="21"/>
        </w:rPr>
        <w:t>would like to highlight the following project types for Ranking</w:t>
      </w:r>
      <w:r w:rsidR="00FB5C1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priority: </w:t>
      </w:r>
    </w:p>
    <w:p w14:paraId="485C37EF" w14:textId="15757566" w:rsidR="00FB5C12" w:rsidRDefault="006D0C70" w:rsidP="0091644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8" w:lineRule="auto"/>
        <w:ind w:left="720" w:right="2427"/>
        <w:rPr>
          <w:rFonts w:ascii="Times" w:eastAsia="Times" w:hAnsi="Times" w:cs="Times"/>
          <w:color w:val="000000"/>
          <w:sz w:val="21"/>
          <w:szCs w:val="21"/>
        </w:rPr>
      </w:pPr>
      <w:r w:rsidRPr="00FB5C12">
        <w:rPr>
          <w:rFonts w:ascii="Times" w:eastAsia="Times" w:hAnsi="Times" w:cs="Times"/>
          <w:color w:val="000000"/>
          <w:sz w:val="21"/>
          <w:szCs w:val="21"/>
        </w:rPr>
        <w:t>Perman</w:t>
      </w:r>
      <w:r w:rsidR="008E2CE7">
        <w:rPr>
          <w:rFonts w:ascii="Times" w:eastAsia="Times" w:hAnsi="Times" w:cs="Times"/>
          <w:color w:val="000000"/>
          <w:sz w:val="21"/>
          <w:szCs w:val="21"/>
        </w:rPr>
        <w:t>ent Supportive Housing projects</w:t>
      </w:r>
    </w:p>
    <w:p w14:paraId="37EF8E8A" w14:textId="34A167F1" w:rsidR="00FB5C12" w:rsidRPr="00FB5C12" w:rsidRDefault="00FB5C12" w:rsidP="00FB5C1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3" w:line="258" w:lineRule="auto"/>
        <w:ind w:left="720" w:right="2427"/>
        <w:rPr>
          <w:rFonts w:ascii="Times" w:eastAsia="Times" w:hAnsi="Times" w:cs="Times"/>
          <w:color w:val="000000"/>
          <w:sz w:val="21"/>
          <w:szCs w:val="21"/>
        </w:rPr>
      </w:pPr>
      <w:r w:rsidRPr="00FB5C12">
        <w:rPr>
          <w:rFonts w:ascii="Times" w:eastAsia="Times" w:hAnsi="Times" w:cs="Times"/>
          <w:color w:val="000000"/>
          <w:sz w:val="21"/>
          <w:szCs w:val="21"/>
        </w:rPr>
        <w:t>Rapid Rehousing</w:t>
      </w:r>
    </w:p>
    <w:p w14:paraId="0000000C" w14:textId="77777777" w:rsidR="00D82FD2" w:rsidRDefault="006D0C70" w:rsidP="00307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="Times" w:eastAsia="Times" w:hAnsi="Times" w:cs="Times"/>
          <w:b/>
          <w:color w:val="000000"/>
          <w:sz w:val="25"/>
          <w:szCs w:val="25"/>
        </w:rPr>
      </w:pPr>
      <w:r>
        <w:rPr>
          <w:rFonts w:ascii="Times" w:eastAsia="Times" w:hAnsi="Times" w:cs="Times"/>
          <w:b/>
          <w:color w:val="000000"/>
          <w:sz w:val="25"/>
          <w:szCs w:val="25"/>
        </w:rPr>
        <w:t xml:space="preserve">IV. Application Process (Scoring and Ranking Overview) </w:t>
      </w:r>
    </w:p>
    <w:p w14:paraId="0000000D" w14:textId="63E9B2A7" w:rsidR="00D82FD2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19" w:lineRule="auto"/>
        <w:ind w:firstLine="6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BCEH </w:t>
      </w:r>
      <w:r w:rsidR="008E2CE7">
        <w:rPr>
          <w:rFonts w:ascii="Times" w:eastAsia="Times" w:hAnsi="Times" w:cs="Times"/>
          <w:color w:val="000000"/>
          <w:sz w:val="21"/>
          <w:szCs w:val="21"/>
        </w:rPr>
        <w:t>is the Collaborative Applicant for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CoC funding. Agencies are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able to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submit both renewal and new project applications</w:t>
      </w:r>
      <w:r w:rsidR="00FB5C12">
        <w:rPr>
          <w:rFonts w:ascii="Times" w:eastAsia="Times" w:hAnsi="Times" w:cs="Times"/>
          <w:color w:val="000000"/>
          <w:sz w:val="21"/>
          <w:szCs w:val="21"/>
        </w:rPr>
        <w:t xml:space="preserve"> through e-snaps </w:t>
      </w:r>
      <w:r w:rsidR="008E2CE7">
        <w:rPr>
          <w:rFonts w:ascii="Times" w:eastAsia="Times" w:hAnsi="Times" w:cs="Times"/>
          <w:color w:val="000000"/>
          <w:sz w:val="21"/>
          <w:szCs w:val="21"/>
        </w:rPr>
        <w:t>to BCEH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. The criteria for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the scoring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of both type</w:t>
      </w:r>
      <w:r w:rsidR="00FB5C12">
        <w:rPr>
          <w:rFonts w:ascii="Times" w:eastAsia="Times" w:hAnsi="Times" w:cs="Times"/>
          <w:color w:val="000000"/>
          <w:sz w:val="21"/>
          <w:szCs w:val="21"/>
        </w:rPr>
        <w:t>s of projects can be found in the attached scoring tools</w:t>
      </w:r>
      <w:r w:rsidR="008E2CE7">
        <w:rPr>
          <w:rFonts w:ascii="Times" w:eastAsia="Times" w:hAnsi="Times" w:cs="Times"/>
          <w:color w:val="000000"/>
          <w:sz w:val="21"/>
          <w:szCs w:val="21"/>
        </w:rPr>
        <w:t xml:space="preserve"> on bceh.org</w:t>
      </w:r>
      <w:r w:rsidR="00FB5C12">
        <w:rPr>
          <w:rFonts w:ascii="Times" w:eastAsia="Times" w:hAnsi="Times" w:cs="Times"/>
          <w:color w:val="000000"/>
          <w:sz w:val="21"/>
          <w:szCs w:val="21"/>
        </w:rPr>
        <w:t xml:space="preserve">.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Applications are split into two sections: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threshold requirements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and performance measures. Projects and agencies must meet threshold requirements to be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considered in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the funding competition. Performance measures will be used to determine ranking in the funding competition. </w:t>
      </w:r>
    </w:p>
    <w:p w14:paraId="0000000E" w14:textId="2CDAFC9A" w:rsidR="005F70EA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21" w:lineRule="auto"/>
        <w:ind w:right="193" w:firstLine="2"/>
        <w:rPr>
          <w:rFonts w:ascii="Times" w:eastAsia="Times" w:hAnsi="Times" w:cs="Times"/>
          <w:b/>
          <w:color w:val="000000" w:themeColor="text1"/>
        </w:rPr>
      </w:pPr>
      <w:r w:rsidRPr="00307D4B">
        <w:rPr>
          <w:rFonts w:ascii="Times" w:eastAsia="Times" w:hAnsi="Times" w:cs="Times"/>
          <w:b/>
          <w:color w:val="000000" w:themeColor="text1"/>
        </w:rPr>
        <w:t xml:space="preserve">Both New and Renewal Applications are due </w:t>
      </w:r>
      <w:r w:rsidR="00307D4B" w:rsidRPr="00307D4B">
        <w:rPr>
          <w:rFonts w:ascii="Times" w:eastAsia="Times" w:hAnsi="Times" w:cs="Times"/>
          <w:b/>
          <w:color w:val="000000" w:themeColor="text1"/>
        </w:rPr>
        <w:t>October 6, 2021</w:t>
      </w:r>
      <w:r w:rsidRPr="00307D4B">
        <w:rPr>
          <w:rFonts w:ascii="Times" w:eastAsia="Times" w:hAnsi="Times" w:cs="Times"/>
          <w:b/>
          <w:color w:val="000000" w:themeColor="text1"/>
          <w:sz w:val="23"/>
          <w:szCs w:val="23"/>
          <w:vertAlign w:val="superscript"/>
        </w:rPr>
        <w:t xml:space="preserve"> </w:t>
      </w:r>
      <w:r w:rsidRPr="00307D4B">
        <w:rPr>
          <w:rFonts w:ascii="Times" w:eastAsia="Times" w:hAnsi="Times" w:cs="Times"/>
          <w:b/>
          <w:color w:val="000000" w:themeColor="text1"/>
        </w:rPr>
        <w:t xml:space="preserve">at 11:59pm ET. </w:t>
      </w:r>
    </w:p>
    <w:p w14:paraId="681979C8" w14:textId="77777777" w:rsidR="005F70EA" w:rsidRDefault="005F70EA">
      <w:pPr>
        <w:rPr>
          <w:rFonts w:ascii="Times" w:eastAsia="Times" w:hAnsi="Times" w:cs="Times"/>
          <w:b/>
          <w:color w:val="000000" w:themeColor="text1"/>
        </w:rPr>
      </w:pPr>
      <w:r>
        <w:rPr>
          <w:rFonts w:ascii="Times" w:eastAsia="Times" w:hAnsi="Times" w:cs="Times"/>
          <w:b/>
          <w:color w:val="000000" w:themeColor="text1"/>
        </w:rPr>
        <w:br w:type="page"/>
      </w:r>
    </w:p>
    <w:p w14:paraId="0000000F" w14:textId="553410BE" w:rsidR="00D82FD2" w:rsidRDefault="00FB5C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 w:line="240" w:lineRule="auto"/>
        <w:ind w:left="402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A. Renewal </w:t>
      </w:r>
      <w:r w:rsidR="006D0C70">
        <w:rPr>
          <w:rFonts w:ascii="Times" w:eastAsia="Times" w:hAnsi="Times" w:cs="Times"/>
          <w:b/>
          <w:color w:val="000000"/>
        </w:rPr>
        <w:t xml:space="preserve">Projects (80 points) </w:t>
      </w:r>
    </w:p>
    <w:p w14:paraId="00000010" w14:textId="6FEC0E23" w:rsidR="00D82FD2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5" w:lineRule="auto"/>
        <w:ind w:right="51" w:firstLine="1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Each agency considering applying for a new project will be required to submit an application to the BCEH Executive Director, including an operating budget</w:t>
      </w:r>
      <w:r w:rsidR="00FB5C12">
        <w:rPr>
          <w:rFonts w:ascii="Times" w:eastAsia="Times" w:hAnsi="Times" w:cs="Times"/>
          <w:color w:val="000000"/>
          <w:sz w:val="21"/>
          <w:szCs w:val="21"/>
        </w:rPr>
        <w:t>, and apply in e-snaps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. </w:t>
      </w:r>
      <w:r w:rsidR="00FB5C12">
        <w:rPr>
          <w:rFonts w:ascii="Times" w:eastAsia="Times" w:hAnsi="Times" w:cs="Times"/>
          <w:color w:val="000000"/>
          <w:sz w:val="21"/>
          <w:szCs w:val="21"/>
        </w:rPr>
        <w:t>A committee then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reviews and scores applications for adherence to the following HUD and local threshold criteria: </w:t>
      </w:r>
    </w:p>
    <w:p w14:paraId="00000011" w14:textId="77777777" w:rsidR="00D82FD2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5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Threshold Requirements </w:t>
      </w:r>
    </w:p>
    <w:p w14:paraId="75629239" w14:textId="619095BB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 xml:space="preserve">Participates in Coordinated Entry </w:t>
      </w:r>
    </w:p>
    <w:p w14:paraId="02CD1F0C" w14:textId="1A2A6DB0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Participates in CoC meeting</w:t>
      </w:r>
    </w:p>
    <w:p w14:paraId="68BEAAC3" w14:textId="5E083200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Verifies participant eligibility</w:t>
      </w:r>
    </w:p>
    <w:p w14:paraId="4A29F3E6" w14:textId="735C9AE6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Has acceptable organizational audit/financial review</w:t>
      </w:r>
    </w:p>
    <w:p w14:paraId="40ACAF2A" w14:textId="2B2B4139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Participates in Coalition of Provider meetings</w:t>
      </w:r>
    </w:p>
    <w:p w14:paraId="45F32A21" w14:textId="6E67EF6C" w:rsidR="00F81C7D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Completed Equity Organizational Self-Assessment</w:t>
      </w:r>
    </w:p>
    <w:p w14:paraId="00000012" w14:textId="63B27024" w:rsidR="00D82FD2" w:rsidRPr="0023044D" w:rsidRDefault="00F81C7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Participates in HMIS or DV comparable database</w:t>
      </w:r>
    </w:p>
    <w:p w14:paraId="0000001C" w14:textId="5CAA54A1" w:rsidR="00D82FD2" w:rsidRDefault="006D0C70" w:rsidP="00394D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Performance Measures/Community Need </w:t>
      </w:r>
    </w:p>
    <w:p w14:paraId="0D7D823A" w14:textId="31D379EF" w:rsidR="004A45A0" w:rsidRDefault="00752A8A" w:rsidP="004A45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Rapid return to permanent housing</w:t>
      </w:r>
    </w:p>
    <w:p w14:paraId="18F9A68F" w14:textId="76CC6909" w:rsidR="00752A8A" w:rsidRDefault="00752A8A" w:rsidP="004A45A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Percentage of exits that return to homelessness </w:t>
      </w:r>
    </w:p>
    <w:p w14:paraId="1AE676AF" w14:textId="2F76A937" w:rsidR="00752A8A" w:rsidRDefault="00752A8A" w:rsidP="00752A8A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DV narrative to supplement this measure</w:t>
      </w:r>
    </w:p>
    <w:p w14:paraId="76466B95" w14:textId="7D02A374" w:rsidR="00752A8A" w:rsidRDefault="00752A8A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Average length of stay</w:t>
      </w:r>
    </w:p>
    <w:p w14:paraId="69459C7D" w14:textId="5E8FEB7D" w:rsidR="00752A8A" w:rsidRDefault="00752A8A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Increasing participant non-cas</w:t>
      </w:r>
      <w:r w:rsidR="009836AA">
        <w:rPr>
          <w:rFonts w:ascii="Times" w:eastAsia="Times" w:hAnsi="Times" w:cs="Times"/>
          <w:color w:val="000000"/>
          <w:sz w:val="21"/>
          <w:szCs w:val="21"/>
        </w:rPr>
        <w:t>h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benefits, income, and non-employment income</w:t>
      </w:r>
    </w:p>
    <w:p w14:paraId="6B1CD1B6" w14:textId="176B3CB9" w:rsidR="00752A8A" w:rsidRDefault="00ED7858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Participants entering from place not meant for human habitation </w:t>
      </w:r>
    </w:p>
    <w:p w14:paraId="08054952" w14:textId="5C8504BC" w:rsidR="00ED7858" w:rsidRDefault="00ED7858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Participants entering from chronic homelessness</w:t>
      </w:r>
    </w:p>
    <w:p w14:paraId="7522A093" w14:textId="53AC6353" w:rsidR="00ED7858" w:rsidRDefault="00ED7858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Compliance with Housing First</w:t>
      </w:r>
    </w:p>
    <w:p w14:paraId="394E480D" w14:textId="0AFC7DC6" w:rsidR="00ED7858" w:rsidRDefault="00F748F6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HMIS data quality </w:t>
      </w:r>
    </w:p>
    <w:p w14:paraId="1371D96B" w14:textId="2C0272E3" w:rsidR="00F748F6" w:rsidRDefault="005A2979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Unit utilization </w:t>
      </w:r>
    </w:p>
    <w:p w14:paraId="74FE2E60" w14:textId="5B3AFF40" w:rsidR="005A2979" w:rsidRDefault="005A2979" w:rsidP="00752A8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Funding utilization</w:t>
      </w:r>
    </w:p>
    <w:p w14:paraId="39763E27" w14:textId="324CFB9B" w:rsidR="005A2979" w:rsidRPr="005A2979" w:rsidRDefault="005A2979" w:rsidP="005A297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APR timeliness </w:t>
      </w:r>
    </w:p>
    <w:p w14:paraId="297F7C82" w14:textId="65FBA592" w:rsidR="00F81C7D" w:rsidRPr="00E535E7" w:rsidRDefault="006D0C70" w:rsidP="00E53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381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B. </w:t>
      </w:r>
      <w:r w:rsidR="00FB5C12">
        <w:rPr>
          <w:rFonts w:ascii="Times" w:eastAsia="Times" w:hAnsi="Times" w:cs="Times"/>
          <w:b/>
          <w:color w:val="000000"/>
          <w:sz w:val="21"/>
          <w:szCs w:val="21"/>
        </w:rPr>
        <w:t>New Projects</w:t>
      </w: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 </w:t>
      </w:r>
    </w:p>
    <w:p w14:paraId="179D5C24" w14:textId="1FB979B9" w:rsidR="009A471A" w:rsidRDefault="009A471A" w:rsidP="00E53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51" w:firstLine="1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Each agency considering applying for a new project will be required to submit an application to the BCEH Executive Director, including an operating budget, and apply in e-snaps. A committee then reviews and scores applications for adherence to the following HUD and local threshold criteria: </w:t>
      </w:r>
    </w:p>
    <w:p w14:paraId="00000030" w14:textId="2BFD6442" w:rsidR="00D82FD2" w:rsidRDefault="006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5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Threshold Requirements </w:t>
      </w:r>
    </w:p>
    <w:p w14:paraId="0802B61B" w14:textId="32CC3B1A" w:rsidR="0023044D" w:rsidRPr="0023044D" w:rsidRDefault="0023044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Agrees to participate</w:t>
      </w:r>
      <w:r w:rsidRPr="0023044D">
        <w:rPr>
          <w:rFonts w:ascii="Times" w:eastAsia="Times" w:hAnsi="Times" w:cs="Times"/>
          <w:color w:val="000000"/>
          <w:sz w:val="21"/>
          <w:szCs w:val="21"/>
        </w:rPr>
        <w:t xml:space="preserve"> in Coordinated Entry </w:t>
      </w:r>
    </w:p>
    <w:p w14:paraId="6B10E2AD" w14:textId="300D036D" w:rsidR="0023044D" w:rsidRPr="0023044D" w:rsidRDefault="0023044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Agrees to participate</w:t>
      </w:r>
      <w:r w:rsidRPr="0023044D">
        <w:rPr>
          <w:rFonts w:ascii="Times" w:eastAsia="Times" w:hAnsi="Times" w:cs="Times"/>
          <w:color w:val="000000"/>
          <w:sz w:val="21"/>
          <w:szCs w:val="21"/>
        </w:rPr>
        <w:t xml:space="preserve"> in CoC meeting</w:t>
      </w:r>
    </w:p>
    <w:p w14:paraId="01D501E2" w14:textId="05909A85" w:rsidR="0023044D" w:rsidRPr="0023044D" w:rsidRDefault="0023044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Commits to verify</w:t>
      </w:r>
      <w:r w:rsidRPr="0023044D">
        <w:rPr>
          <w:rFonts w:ascii="Times" w:eastAsia="Times" w:hAnsi="Times" w:cs="Times"/>
          <w:color w:val="000000"/>
          <w:sz w:val="21"/>
          <w:szCs w:val="21"/>
        </w:rPr>
        <w:t xml:space="preserve"> participant eligibility</w:t>
      </w:r>
    </w:p>
    <w:p w14:paraId="63B5F877" w14:textId="77777777" w:rsidR="0023044D" w:rsidRPr="0023044D" w:rsidRDefault="0023044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Has acceptable organizational audit/financial review</w:t>
      </w:r>
    </w:p>
    <w:p w14:paraId="5709E45E" w14:textId="7EAC8141" w:rsidR="0023044D" w:rsidRPr="0023044D" w:rsidRDefault="00DE4408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Agrees to participate</w:t>
      </w:r>
      <w:r w:rsidR="0023044D" w:rsidRPr="0023044D">
        <w:rPr>
          <w:rFonts w:ascii="Times" w:eastAsia="Times" w:hAnsi="Times" w:cs="Times"/>
          <w:color w:val="000000"/>
          <w:sz w:val="21"/>
          <w:szCs w:val="21"/>
        </w:rPr>
        <w:t xml:space="preserve"> in Coalition of Provider meetings</w:t>
      </w:r>
    </w:p>
    <w:p w14:paraId="318AD3A6" w14:textId="77777777" w:rsidR="0023044D" w:rsidRPr="0023044D" w:rsidRDefault="0023044D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Times" w:eastAsia="Times" w:hAnsi="Times" w:cs="Times"/>
          <w:color w:val="000000"/>
          <w:sz w:val="21"/>
          <w:szCs w:val="21"/>
        </w:rPr>
      </w:pPr>
      <w:r w:rsidRPr="0023044D">
        <w:rPr>
          <w:rFonts w:ascii="Times" w:eastAsia="Times" w:hAnsi="Times" w:cs="Times"/>
          <w:color w:val="000000"/>
          <w:sz w:val="21"/>
          <w:szCs w:val="21"/>
        </w:rPr>
        <w:t>Completed Equity Organizational Self-Assessment</w:t>
      </w:r>
    </w:p>
    <w:p w14:paraId="35E6578E" w14:textId="4D5E39E6" w:rsidR="0023044D" w:rsidRPr="0023044D" w:rsidRDefault="00DE4408" w:rsidP="002304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Commits to participate</w:t>
      </w:r>
      <w:r w:rsidR="0023044D" w:rsidRPr="0023044D">
        <w:rPr>
          <w:rFonts w:ascii="Times" w:eastAsia="Times" w:hAnsi="Times" w:cs="Times"/>
          <w:color w:val="000000"/>
          <w:sz w:val="21"/>
          <w:szCs w:val="21"/>
        </w:rPr>
        <w:t xml:space="preserve"> in HMIS or DV comparable database</w:t>
      </w:r>
    </w:p>
    <w:p w14:paraId="0000003A" w14:textId="77777777" w:rsidR="00D82FD2" w:rsidRDefault="006D0C70" w:rsidP="00394D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" w:eastAsia="Times" w:hAnsi="Times" w:cs="Times"/>
          <w:b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Performance Measures </w:t>
      </w:r>
    </w:p>
    <w:p w14:paraId="00000043" w14:textId="4859E6E1" w:rsidR="00D82FD2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Experience with the population </w:t>
      </w:r>
    </w:p>
    <w:p w14:paraId="3BFB2F8A" w14:textId="2FBB329E" w:rsidR="009836AA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Experience with housing</w:t>
      </w:r>
      <w:bookmarkStart w:id="0" w:name="_GoBack"/>
      <w:bookmarkEnd w:id="0"/>
    </w:p>
    <w:p w14:paraId="3B91A7A6" w14:textId="2F9D2D0E" w:rsidR="009836AA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Experience using public funding</w:t>
      </w:r>
    </w:p>
    <w:p w14:paraId="3BD6421C" w14:textId="1467ECAE" w:rsidR="009836AA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Plan to increase participant non-cash benefits, income, and non-employment income</w:t>
      </w:r>
    </w:p>
    <w:p w14:paraId="71EF96C4" w14:textId="6A37D6C9" w:rsidR="009836AA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Project type is a priority </w:t>
      </w:r>
    </w:p>
    <w:p w14:paraId="7B37BD39" w14:textId="19361231" w:rsidR="009836AA" w:rsidRDefault="009836AA" w:rsidP="009836A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Project commits to Housing First </w:t>
      </w:r>
    </w:p>
    <w:p w14:paraId="1E64683D" w14:textId="53DDABF1" w:rsidR="009836AA" w:rsidRPr="00041EB3" w:rsidRDefault="009836AA" w:rsidP="00041EB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 xml:space="preserve">Timely implementation of project </w:t>
      </w:r>
    </w:p>
    <w:sectPr w:rsidR="009836AA" w:rsidRPr="00041EB3">
      <w:pgSz w:w="12240" w:h="15840"/>
      <w:pgMar w:top="1300" w:right="1474" w:bottom="996" w:left="8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E99"/>
    <w:multiLevelType w:val="hybridMultilevel"/>
    <w:tmpl w:val="BE1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998"/>
    <w:multiLevelType w:val="hybridMultilevel"/>
    <w:tmpl w:val="89B66C5A"/>
    <w:lvl w:ilvl="0" w:tplc="210C1E2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F3349D"/>
    <w:multiLevelType w:val="hybridMultilevel"/>
    <w:tmpl w:val="3982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9E3"/>
    <w:multiLevelType w:val="hybridMultilevel"/>
    <w:tmpl w:val="FECA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D2"/>
    <w:rsid w:val="00041EB3"/>
    <w:rsid w:val="0023044D"/>
    <w:rsid w:val="00307D4B"/>
    <w:rsid w:val="00394DED"/>
    <w:rsid w:val="004A45A0"/>
    <w:rsid w:val="005A2979"/>
    <w:rsid w:val="005F70EA"/>
    <w:rsid w:val="006D0C70"/>
    <w:rsid w:val="00752A8A"/>
    <w:rsid w:val="008E2CE7"/>
    <w:rsid w:val="0091644E"/>
    <w:rsid w:val="009836AA"/>
    <w:rsid w:val="00984068"/>
    <w:rsid w:val="009A471A"/>
    <w:rsid w:val="00BF1088"/>
    <w:rsid w:val="00D82FD2"/>
    <w:rsid w:val="00DE4408"/>
    <w:rsid w:val="00E4575F"/>
    <w:rsid w:val="00E535E7"/>
    <w:rsid w:val="00ED7858"/>
    <w:rsid w:val="00F748F6"/>
    <w:rsid w:val="00F81C7D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8665"/>
  <w15:docId w15:val="{96952D62-4FB5-4D38-9B80-99A4AB6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B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BCEH_Lenovo1</dc:creator>
  <cp:lastModifiedBy>BCEH_Lenovo1</cp:lastModifiedBy>
  <cp:revision>22</cp:revision>
  <dcterms:created xsi:type="dcterms:W3CDTF">2021-11-10T19:38:00Z</dcterms:created>
  <dcterms:modified xsi:type="dcterms:W3CDTF">2021-11-11T14:49:00Z</dcterms:modified>
</cp:coreProperties>
</file>